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4CE179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F6651A">
        <w:rPr>
          <w:rFonts w:ascii="Azo Sans Md" w:hAnsi="Azo Sans Md" w:cstheme="minorHAnsi"/>
          <w:bCs/>
          <w:szCs w:val="24"/>
        </w:rPr>
        <w:t>63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2B26448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6651A">
        <w:rPr>
          <w:rFonts w:ascii="Azo Sans Md" w:hAnsi="Azo Sans Md" w:cstheme="minorHAnsi"/>
          <w:szCs w:val="24"/>
        </w:rPr>
        <w:t>13.421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6CFB59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F6651A" w:rsidRPr="00F6651A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de Limpeza para atender a demanda da Clínica de Repouso Santa Lúcia,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13051B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F6651A">
        <w:rPr>
          <w:rFonts w:ascii="Azo Sans Md" w:hAnsi="Azo Sans Md" w:cstheme="minorHAnsi"/>
          <w:sz w:val="22"/>
          <w:szCs w:val="22"/>
        </w:rPr>
        <w:t>63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F6651A" w:rsidRPr="00B23918">
        <w:rPr>
          <w:rFonts w:ascii="Azo Sans Md" w:hAnsi="Azo Sans Md" w:cstheme="minorHAnsi"/>
          <w:sz w:val="22"/>
          <w:szCs w:val="22"/>
        </w:rPr>
        <w:t>Material de Limpeza para atender a demanda da Clínica de Repouso Santa Lúcia, pelo período de 12 (doze) meses</w:t>
      </w:r>
      <w:r w:rsidRPr="00B2391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9B03" w14:textId="77777777" w:rsidR="007B710E" w:rsidRDefault="007B710E" w:rsidP="007A67F8">
      <w:r>
        <w:separator/>
      </w:r>
    </w:p>
  </w:endnote>
  <w:endnote w:type="continuationSeparator" w:id="0">
    <w:p w14:paraId="29BCC71C" w14:textId="77777777" w:rsidR="007B710E" w:rsidRDefault="007B710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93F7" w14:textId="77777777" w:rsidR="007B710E" w:rsidRDefault="007B710E" w:rsidP="007A67F8">
      <w:r>
        <w:separator/>
      </w:r>
    </w:p>
  </w:footnote>
  <w:footnote w:type="continuationSeparator" w:id="0">
    <w:p w14:paraId="1947B49C" w14:textId="77777777" w:rsidR="007B710E" w:rsidRDefault="007B710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E28697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6651A">
                            <w:rPr>
                              <w:rFonts w:cs="Calibri"/>
                              <w:sz w:val="20"/>
                              <w:szCs w:val="20"/>
                            </w:rPr>
                            <w:t>13.421/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E28697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6651A">
                      <w:rPr>
                        <w:rFonts w:cs="Calibri"/>
                        <w:sz w:val="20"/>
                        <w:szCs w:val="20"/>
                      </w:rPr>
                      <w:t>13.421/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B710E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23918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6651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2022-08-23T18:15:00Z</dcterms:modified>
</cp:coreProperties>
</file>